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0D" w:rsidRDefault="0098193D" w:rsidP="00EB6C0D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EB6C0D">
        <w:rPr>
          <w:rFonts w:ascii="Arial" w:eastAsiaTheme="minorHAnsi" w:hAnsi="Arial" w:cs="Arial"/>
          <w:sz w:val="24"/>
          <w:szCs w:val="24"/>
        </w:rPr>
        <w:t xml:space="preserve">        </w:t>
      </w:r>
      <w:r w:rsidR="00EB6C0D">
        <w:rPr>
          <w:rFonts w:ascii="Arial" w:eastAsiaTheme="minorHAnsi" w:hAnsi="Arial" w:cs="Arial"/>
          <w:sz w:val="24"/>
          <w:szCs w:val="24"/>
        </w:rPr>
        <w:t>TVIRTINU</w:t>
      </w:r>
      <w:bookmarkStart w:id="0" w:name="_GoBack"/>
      <w:bookmarkEnd w:id="0"/>
      <w:r w:rsidR="00EB6C0D"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</w:t>
      </w:r>
      <w:r w:rsidR="00EB6C0D">
        <w:rPr>
          <w:rFonts w:ascii="Arial" w:eastAsiaTheme="minorHAnsi" w:hAnsi="Arial" w:cs="Arial"/>
          <w:sz w:val="24"/>
          <w:szCs w:val="24"/>
        </w:rPr>
        <w:t xml:space="preserve"> </w:t>
      </w:r>
    </w:p>
    <w:p w:rsidR="00EB6C0D" w:rsidRDefault="00EB6C0D" w:rsidP="00EB6C0D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Joniškio r. Žagarės gimnazijos direktorė</w:t>
      </w:r>
    </w:p>
    <w:p w:rsidR="00EB6C0D" w:rsidRDefault="00EB6C0D" w:rsidP="00EB6C0D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EB6C0D" w:rsidRDefault="00EB6C0D" w:rsidP="00EB6C0D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                                Edita </w:t>
      </w:r>
      <w:proofErr w:type="spellStart"/>
      <w:r>
        <w:rPr>
          <w:rFonts w:ascii="Arial" w:eastAsiaTheme="minorHAnsi" w:hAnsi="Arial" w:cs="Arial"/>
          <w:color w:val="000000" w:themeColor="text1"/>
          <w:sz w:val="24"/>
          <w:szCs w:val="24"/>
        </w:rPr>
        <w:t>Aukselienė</w:t>
      </w:r>
      <w:proofErr w:type="spellEnd"/>
    </w:p>
    <w:p w:rsidR="00EB6C0D" w:rsidRDefault="00EB6C0D" w:rsidP="00EB6C0D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2024-11-25</w:t>
      </w:r>
      <w:r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EB6C0D" w:rsidRPr="00A71121" w:rsidRDefault="00EB6C0D" w:rsidP="00EB6C0D">
      <w:pPr>
        <w:pStyle w:val="Default"/>
        <w:rPr>
          <w:rFonts w:ascii="Arial" w:hAnsi="Arial" w:cs="Arial"/>
        </w:rPr>
      </w:pPr>
    </w:p>
    <w:p w:rsidR="0098193D" w:rsidRPr="00A71121" w:rsidRDefault="0098193D" w:rsidP="0098193D">
      <w:pPr>
        <w:pStyle w:val="Default"/>
        <w:jc w:val="center"/>
        <w:rPr>
          <w:rFonts w:ascii="Arial" w:hAnsi="Arial" w:cs="Arial"/>
        </w:rPr>
      </w:pPr>
    </w:p>
    <w:p w:rsidR="00374DC9" w:rsidRPr="00A71121" w:rsidRDefault="00374DC9" w:rsidP="00374DC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4DC9" w:rsidRPr="00374DC9" w:rsidRDefault="00374DC9" w:rsidP="00374DC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74DC9">
        <w:rPr>
          <w:rFonts w:ascii="Arial" w:hAnsi="Arial" w:cs="Arial"/>
          <w:b/>
          <w:bCs/>
          <w:color w:val="000000"/>
          <w:sz w:val="24"/>
          <w:szCs w:val="24"/>
        </w:rPr>
        <w:t>JONIŠKIO R. ŽAGARĖS GIMNAZIJOS DIENOS UŽIMTUMO CENTRO</w:t>
      </w:r>
    </w:p>
    <w:p w:rsidR="00374DC9" w:rsidRPr="00374DC9" w:rsidRDefault="00374DC9" w:rsidP="00374DC9">
      <w:pPr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PASLAUGŲ GAVĖJŲ GYVENIMO KOKYBĖS APRAŠAS</w:t>
      </w: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I SKYRIUS</w:t>
      </w:r>
    </w:p>
    <w:p w:rsid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BENDROSIOS NUOSTATOS</w:t>
      </w: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DC9" w:rsidRPr="00374DC9" w:rsidRDefault="00374DC9" w:rsidP="00374DC9">
      <w:pPr>
        <w:pStyle w:val="Betarp"/>
        <w:rPr>
          <w:rFonts w:ascii="Arial" w:hAnsi="Arial" w:cs="Arial"/>
          <w:b/>
          <w:sz w:val="24"/>
          <w:szCs w:val="24"/>
        </w:rPr>
      </w:pPr>
      <w:r>
        <w:tab/>
      </w:r>
      <w:r w:rsidRPr="00374DC9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J</w:t>
      </w:r>
      <w:r w:rsidRPr="00374DC9">
        <w:rPr>
          <w:rFonts w:ascii="Arial" w:hAnsi="Arial" w:cs="Arial"/>
          <w:sz w:val="24"/>
          <w:szCs w:val="24"/>
        </w:rPr>
        <w:t xml:space="preserve">oniškio r. </w:t>
      </w:r>
      <w:r>
        <w:rPr>
          <w:rFonts w:ascii="Arial" w:hAnsi="Arial" w:cs="Arial"/>
          <w:sz w:val="24"/>
          <w:szCs w:val="24"/>
        </w:rPr>
        <w:t>Ž</w:t>
      </w:r>
      <w:r w:rsidRPr="00374DC9">
        <w:rPr>
          <w:rFonts w:ascii="Arial" w:hAnsi="Arial" w:cs="Arial"/>
          <w:sz w:val="24"/>
          <w:szCs w:val="24"/>
        </w:rPr>
        <w:t>agarės gimnazijos dienos užimtumo centro</w:t>
      </w:r>
      <w:r>
        <w:rPr>
          <w:rFonts w:ascii="Arial" w:hAnsi="Arial" w:cs="Arial"/>
          <w:sz w:val="24"/>
          <w:szCs w:val="24"/>
        </w:rPr>
        <w:t xml:space="preserve"> (toliau – Centras)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4DC9">
        <w:rPr>
          <w:rFonts w:ascii="Arial" w:hAnsi="Arial" w:cs="Arial"/>
          <w:sz w:val="24"/>
          <w:szCs w:val="24"/>
        </w:rPr>
        <w:t xml:space="preserve"> gyvenimo kokybės aprašas (toliau – Aprašas) parengtas, siekiant paslaugų gavėjams teikti kokybiškas paslaugas dienos socialinės globos institucijoje.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74DC9">
        <w:rPr>
          <w:rFonts w:ascii="Arial" w:hAnsi="Arial" w:cs="Arial"/>
          <w:sz w:val="24"/>
          <w:szCs w:val="24"/>
        </w:rPr>
        <w:t>Aprašo tikslas – išsiaiškinus paslaugų gavėjų poreikius,</w:t>
      </w:r>
      <w:r>
        <w:rPr>
          <w:rFonts w:ascii="Arial" w:hAnsi="Arial" w:cs="Arial"/>
          <w:sz w:val="24"/>
          <w:szCs w:val="24"/>
        </w:rPr>
        <w:t xml:space="preserve"> tobulinti teikiamas paslaugas Centre</w:t>
      </w:r>
      <w:r w:rsidRPr="00374DC9">
        <w:rPr>
          <w:rFonts w:ascii="Arial" w:hAnsi="Arial" w:cs="Arial"/>
          <w:sz w:val="24"/>
          <w:szCs w:val="24"/>
        </w:rPr>
        <w:t>, siekiant gerinti paslaugų gavėjų gyvenimo kokybę.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Pr="00374DC9">
        <w:rPr>
          <w:rFonts w:ascii="Arial" w:hAnsi="Arial" w:cs="Arial"/>
          <w:sz w:val="24"/>
          <w:szCs w:val="24"/>
        </w:rPr>
        <w:t xml:space="preserve">. Gyvenimo kokybė (toliau – GK) – tai subjektyvus paslaugų gavėjų gyvenimo kokybės vertinimas ir suvokimas bei aplinka, kurioje paslaugų gavėjas yra pagrindinis teisių ir laisvių turėtojas – su savo gebėjimais, galimybėmis, vertybėmis ir tikslais.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4. Pagrindiniai Aprašo principai: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4.1. orientacija į asmenį – atsižvelgiama į individualius paslaugų gavėjų poreikius, norus;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4.2. lankstumas – prisitaikymas prie kintančių situacijų ir individualių paslaugų gavėjų poreikių;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4.3. bendradarbiavimas – visų darbuotojų siekimas vieno tikslo, bendradarbiaujant tarpusavyje ir su paslaugų gavėjais.</w:t>
      </w:r>
    </w:p>
    <w:p w:rsid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II SKYRIUS</w:t>
      </w:r>
    </w:p>
    <w:p w:rsid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GYVENIMO KOKYBĖS MODELIS</w:t>
      </w: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 GK modelis apima tris sritis: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5.1. </w:t>
      </w:r>
      <w:r w:rsidRPr="00374DC9">
        <w:rPr>
          <w:rFonts w:ascii="Arial" w:hAnsi="Arial" w:cs="Arial"/>
          <w:b/>
          <w:sz w:val="24"/>
          <w:szCs w:val="24"/>
        </w:rPr>
        <w:t>Gebėjimų ugdymas ir palaikymas</w:t>
      </w:r>
      <w:r w:rsidRPr="00374DC9">
        <w:rPr>
          <w:rFonts w:ascii="Arial" w:hAnsi="Arial" w:cs="Arial"/>
          <w:sz w:val="24"/>
          <w:szCs w:val="24"/>
        </w:rPr>
        <w:t>. Skatinti paslaugų gavėjus palaikyti ir ugdyti turimus gebėjimus bei sudaryti galimybę įgyti naujų kompetencijų: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5.1.1. savarankiškumas – savarankiškumo lygio palaikymas kasdieninėse paslaugų gavėjų gyvenimo srityse (asmens higienos, apsirengimo/nusirengimo, mitybos); </w:t>
      </w: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5.1.2. užimtumas – aktyvaus dalyvavimo skatinimas užimtumo veiklose bei jų tobulinimas, esamų ir naujų meninių (karoliukų vėrimo, rankdarbių darymo, molio lipdymo ir kita), buitinių (maisto gaminimo, stalo serviravimo, skalbimo/lyginimo, aplinkos tvarkymo ir kita) pažintinių (ženklų, skaičių, raidžių mokymosi ir kita) įgūdžių ugdymas, galimybės atskleisti savo kūrybiškumą;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5.1.3. laisvalaikis – laisvalaikio organizavimas ir jo praleidimo būdai, asmeniniai pomėgiai (hobiai, knygų skaitymas, stalo žaidimai ir kita).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5.2. </w:t>
      </w:r>
      <w:r w:rsidRPr="00374DC9">
        <w:rPr>
          <w:rFonts w:ascii="Arial" w:hAnsi="Arial" w:cs="Arial"/>
          <w:b/>
          <w:sz w:val="24"/>
          <w:szCs w:val="24"/>
        </w:rPr>
        <w:t>Gerovė</w:t>
      </w:r>
      <w:r w:rsidRPr="00374DC9">
        <w:rPr>
          <w:rFonts w:ascii="Arial" w:hAnsi="Arial" w:cs="Arial"/>
          <w:sz w:val="24"/>
          <w:szCs w:val="24"/>
        </w:rPr>
        <w:t xml:space="preserve">. Užtikrinti paslaugų gavėjų ramią, saugią, gerą savijautą palaikančią aplinką: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5.2.1. emocinė gerovė – asmeninis saugumo jausmas, įvairių atsipalaidavimo būdų naudojimas, siekiant streso, įtampos mažinimo, emocijų pažinimas, tarpusavio bei socialinių santykių stiprinimas, patiriant teigiamus jausmus;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374DC9">
        <w:rPr>
          <w:rFonts w:ascii="Arial" w:hAnsi="Arial" w:cs="Arial"/>
          <w:sz w:val="24"/>
          <w:szCs w:val="24"/>
        </w:rPr>
        <w:t>5.2.2. fizinė gerovė – orientavimasis aplinkoje, judėjimas, fizinio aktyvumo palaikymas, buvimas gryname ore.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5.3. </w:t>
      </w:r>
      <w:r w:rsidRPr="00374DC9">
        <w:rPr>
          <w:rFonts w:ascii="Arial" w:hAnsi="Arial" w:cs="Arial"/>
          <w:b/>
          <w:sz w:val="24"/>
          <w:szCs w:val="24"/>
        </w:rPr>
        <w:t>Integracija</w:t>
      </w:r>
      <w:r w:rsidRPr="00374DC9">
        <w:rPr>
          <w:rFonts w:ascii="Arial" w:hAnsi="Arial" w:cs="Arial"/>
          <w:sz w:val="24"/>
          <w:szCs w:val="24"/>
        </w:rPr>
        <w:t xml:space="preserve">. Skatinti paslaugų gavėjų dalyvavimą </w:t>
      </w:r>
      <w:r>
        <w:rPr>
          <w:rFonts w:ascii="Arial" w:hAnsi="Arial" w:cs="Arial"/>
          <w:sz w:val="24"/>
          <w:szCs w:val="24"/>
        </w:rPr>
        <w:t>Centro</w:t>
      </w:r>
      <w:r w:rsidRPr="00374DC9">
        <w:rPr>
          <w:rFonts w:ascii="Arial" w:hAnsi="Arial" w:cs="Arial"/>
          <w:sz w:val="24"/>
          <w:szCs w:val="24"/>
        </w:rPr>
        <w:t xml:space="preserve"> bendruomenės bei visuomeniniame gyvenime, stiprinant jų bendravimą verbaline ir neverbaline kalba, teisių išmanymą, atsakomybių prisiėmimą bei pareigų atlikimą: </w:t>
      </w:r>
    </w:p>
    <w:p w:rsidR="007511CA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5.3.1. socialiniai ryšiai – bendravimo įgūdžiai, komunikacija ir bendradarbiavimo galimybės (asmens gebėjimas bendrauti jam priimtinu būdu, gebėjimas dirbti komandoje kartu su </w:t>
      </w:r>
      <w:r>
        <w:rPr>
          <w:rFonts w:ascii="Arial" w:hAnsi="Arial" w:cs="Arial"/>
          <w:sz w:val="24"/>
          <w:szCs w:val="24"/>
        </w:rPr>
        <w:t>Centro</w:t>
      </w:r>
      <w:r w:rsidRPr="00374DC9">
        <w:rPr>
          <w:rFonts w:ascii="Arial" w:hAnsi="Arial" w:cs="Arial"/>
          <w:sz w:val="24"/>
          <w:szCs w:val="24"/>
        </w:rPr>
        <w:t xml:space="preserve"> bendruomenės nariais bei stiprinti santykius su visuomene).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5.3.2. teisės – paslaugų gavėjų supažindinimas su jų teisėmis bei kitomis vidaus tvarkomis, jų žinojimas leidžia laisvai reikšti savo nuomonę, pasiūlymus ir skundus, </w:t>
      </w:r>
      <w:r>
        <w:rPr>
          <w:rFonts w:ascii="Arial" w:hAnsi="Arial" w:cs="Arial"/>
          <w:sz w:val="24"/>
          <w:szCs w:val="24"/>
        </w:rPr>
        <w:t xml:space="preserve">pretenzijas </w:t>
      </w:r>
      <w:r w:rsidRPr="00374DC9">
        <w:rPr>
          <w:rFonts w:ascii="Arial" w:hAnsi="Arial" w:cs="Arial"/>
          <w:sz w:val="24"/>
          <w:szCs w:val="24"/>
        </w:rPr>
        <w:t>sprendžiant asmenines gyvenimo situacijas;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5.3.3. įgalinimas – dalyvavimas susirinkimuose, pareigų pasirinkimas ir atsakingas jų atlikimas.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III SKYRIUS</w:t>
      </w:r>
    </w:p>
    <w:p w:rsidR="00374DC9" w:rsidRPr="00374DC9" w:rsidRDefault="00374DC9" w:rsidP="00374D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DC9">
        <w:rPr>
          <w:rFonts w:ascii="Arial" w:hAnsi="Arial" w:cs="Arial"/>
          <w:b/>
          <w:sz w:val="24"/>
          <w:szCs w:val="24"/>
        </w:rPr>
        <w:t>GYVENIMO KOKYBĖS REZULTATŲ ĮVERTINIMAS IR PROCESAS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6. Rezultatų įvertinimo tikslas – analizuoti, užtikrinti, vertinti paslaugų gavėjų GK pokyčius, siekti pokyčių jų gyvenime ir </w:t>
      </w:r>
      <w:r>
        <w:rPr>
          <w:rFonts w:ascii="Arial" w:hAnsi="Arial" w:cs="Arial"/>
          <w:sz w:val="24"/>
          <w:szCs w:val="24"/>
        </w:rPr>
        <w:t>Centro</w:t>
      </w:r>
      <w:r w:rsidRPr="00374DC9">
        <w:rPr>
          <w:rFonts w:ascii="Arial" w:hAnsi="Arial" w:cs="Arial"/>
          <w:sz w:val="24"/>
          <w:szCs w:val="24"/>
        </w:rPr>
        <w:t xml:space="preserve"> veikloje.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7. GK matavimas yra paremtas atskirų gyvenimo kokybės sričių įvertinimu.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8. Paslaugų gavėjų GK vertinimo aspektai: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9. Gebėjimų ugdymas ir palaikymas. Remiamasi savarankiškumu, užimtumu, laisvalaikiu. Vertinamas paslaugų gavėjų savarankiškumo lygis įvairiose kasdieninio gyvenimo srityse, buitiniai, pažintiniai, meniniai įgūdžiai, atskleidžiant jų kūrybiškumą bei laisvalaikio poreikis. </w:t>
      </w:r>
    </w:p>
    <w:p w:rsidR="00374DC9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 xml:space="preserve">10. Gerovė. Remiamasi asmens emocine ir fizine gerove. Vertinamas paslaugų gavėjų emocinis komfortas, kuriant santykį su draugais ir darbuotojais, mobilumas, fiziškai ir emociškai saugi aplinka Įstaigoje, fizinis aktyvumas, orus fiziologinių poreikių patenkinimas. </w:t>
      </w:r>
    </w:p>
    <w:p w:rsidR="003F59D6" w:rsidRDefault="00374DC9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DC9">
        <w:rPr>
          <w:rFonts w:ascii="Arial" w:hAnsi="Arial" w:cs="Arial"/>
          <w:sz w:val="24"/>
          <w:szCs w:val="24"/>
        </w:rPr>
        <w:t>11. Integracija. Remiamasi asmens socialiniais ryšiais, asmens teisių užtikrinimu, įgalinimu. Vertinamas paslaugų gavėjų dalyvavimas Įstaigos bendruomenės ir visuomeniniame gyvenime, bendravimo įgūdžių, socialinių ryšių palaikymas, paslaugų gavė</w:t>
      </w:r>
      <w:r w:rsidR="003F59D6">
        <w:rPr>
          <w:rFonts w:ascii="Arial" w:hAnsi="Arial" w:cs="Arial"/>
          <w:sz w:val="24"/>
          <w:szCs w:val="24"/>
        </w:rPr>
        <w:t xml:space="preserve">jų teisių supratimas, </w:t>
      </w:r>
      <w:proofErr w:type="spellStart"/>
      <w:r w:rsidR="003F59D6">
        <w:rPr>
          <w:rFonts w:ascii="Arial" w:hAnsi="Arial" w:cs="Arial"/>
          <w:sz w:val="24"/>
          <w:szCs w:val="24"/>
        </w:rPr>
        <w:t>vadovavima</w:t>
      </w:r>
      <w:r w:rsidRPr="00374DC9">
        <w:rPr>
          <w:rFonts w:ascii="Arial" w:hAnsi="Arial" w:cs="Arial"/>
          <w:sz w:val="24"/>
          <w:szCs w:val="24"/>
        </w:rPr>
        <w:t>sis</w:t>
      </w:r>
      <w:proofErr w:type="spellEnd"/>
      <w:r w:rsidRPr="00374DC9">
        <w:rPr>
          <w:rFonts w:ascii="Arial" w:hAnsi="Arial" w:cs="Arial"/>
          <w:sz w:val="24"/>
          <w:szCs w:val="24"/>
        </w:rPr>
        <w:t xml:space="preserve"> jomis ir atsakomybių prisiėmimas.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12. GK matavimas – tai žmogaus subjektyvi nuomonė apie jam svarbias gyvenimo sritis. GK priklauso ne tiek nuo gyvenimo sąlygų, kiek nuo paties žmogaus požiūrio į jas bei įgytų gyvenimo vertybių ir suvokimo, kaip jis turėtų gyventi.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13. GK vertinimo instrumentas yra </w:t>
      </w:r>
      <w:r w:rsidR="00374DC9" w:rsidRPr="009626A6">
        <w:rPr>
          <w:rFonts w:ascii="Arial" w:hAnsi="Arial" w:cs="Arial"/>
          <w:sz w:val="24"/>
          <w:szCs w:val="24"/>
        </w:rPr>
        <w:t xml:space="preserve">klausimynas (priedas Nr. 1), kurį </w:t>
      </w:r>
      <w:r w:rsidR="00374DC9" w:rsidRPr="00374DC9">
        <w:rPr>
          <w:rFonts w:ascii="Arial" w:hAnsi="Arial" w:cs="Arial"/>
          <w:sz w:val="24"/>
          <w:szCs w:val="24"/>
        </w:rPr>
        <w:t xml:space="preserve">sudaro uždari klausimai, tačiau pokalbio su paslaugų gavėju metu klausimai tikslinami, atsižvelgiant į kiekvieno gebėjimus. Paslaugų gavėjams, turintiems sunkią negalią, klausimynas pildomas, taikant stebėjimo metodą ir/ar pagal poreikį su tėvų/globėjų pagalba.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>14. Klausimai suskirstyti į tris blokus, atsižvelgiant į GK sritis.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 Atsakymų į klausimus variantai bei vertinimo lygiai: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15.1. 5 balai – visiškai sutinku;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15.2. 4 balai – sutinku;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15.3. 3 balai – iš dalies sutinku;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15.4. 2 balai – nesutinku;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15.5. 1 balas – visiškai nesutinku. </w:t>
      </w:r>
    </w:p>
    <w:p w:rsidR="009626A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16. Rezultatai parodo paslaugų gavėjų GK lygį ir tobulintinas sritis. </w:t>
      </w:r>
    </w:p>
    <w:p w:rsidR="003F59D6" w:rsidRDefault="004F77A4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F59D6"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17. GK vertinimas siejamas su paslaugų gavėjų poreikių išsiaiškinimu, individualiu socialinės globos planu (ISGP), kuriame yra išsikeliamas paslaugų gavėjų tikslas/ai, remiantis GK analizės rezultatais ir paslaugų gavėjo išreikšta nuomone, norais. </w:t>
      </w:r>
      <w:r w:rsidR="003F59D6"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>18. Pokyčių vertinimo procesas: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18.1. paslaugų gavėjų poreikiai vertinami </w:t>
      </w:r>
      <w:r w:rsidR="0098193D">
        <w:rPr>
          <w:rFonts w:ascii="Arial" w:hAnsi="Arial" w:cs="Arial"/>
          <w:sz w:val="24"/>
          <w:szCs w:val="24"/>
        </w:rPr>
        <w:t>1</w:t>
      </w:r>
      <w:r w:rsidR="00374DC9" w:rsidRPr="00374DC9">
        <w:rPr>
          <w:rFonts w:ascii="Arial" w:hAnsi="Arial" w:cs="Arial"/>
          <w:sz w:val="24"/>
          <w:szCs w:val="24"/>
        </w:rPr>
        <w:t xml:space="preserve"> kart</w:t>
      </w:r>
      <w:r w:rsidR="0098193D">
        <w:rPr>
          <w:rFonts w:ascii="Arial" w:hAnsi="Arial" w:cs="Arial"/>
          <w:sz w:val="24"/>
          <w:szCs w:val="24"/>
        </w:rPr>
        <w:t>ą</w:t>
      </w:r>
      <w:r w:rsidR="00374DC9" w:rsidRPr="00374DC9">
        <w:rPr>
          <w:rFonts w:ascii="Arial" w:hAnsi="Arial" w:cs="Arial"/>
          <w:sz w:val="24"/>
          <w:szCs w:val="24"/>
        </w:rPr>
        <w:t xml:space="preserve"> per metus </w:t>
      </w:r>
      <w:r w:rsidR="0098193D">
        <w:rPr>
          <w:rFonts w:ascii="Arial" w:hAnsi="Arial" w:cs="Arial"/>
          <w:sz w:val="24"/>
          <w:szCs w:val="24"/>
        </w:rPr>
        <w:t>ir</w:t>
      </w:r>
      <w:r w:rsidR="00374DC9" w:rsidRPr="00374DC9">
        <w:rPr>
          <w:rFonts w:ascii="Arial" w:hAnsi="Arial" w:cs="Arial"/>
          <w:sz w:val="24"/>
          <w:szCs w:val="24"/>
        </w:rPr>
        <w:t xml:space="preserve"> pagal poreikį;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 xml:space="preserve">18.2. individualus socialinės globos planas (ISGP) sudaromas įvertinus asmens poreikius 1 kartą per metus arba atsiradus esminiams fizinės ar psichinės sveikatos pokyčiams ir peržiūrimas kas pusmetį arba pagal poreikį. </w:t>
      </w:r>
    </w:p>
    <w:p w:rsidR="00374DC9" w:rsidRP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DC9" w:rsidRPr="00374DC9">
        <w:rPr>
          <w:rFonts w:ascii="Arial" w:hAnsi="Arial" w:cs="Arial"/>
          <w:sz w:val="24"/>
          <w:szCs w:val="24"/>
        </w:rPr>
        <w:t>19. Darbuotojai kartu su paslaugų gavėjais ir/ar pagal poreikį su tėvais/</w:t>
      </w:r>
      <w:r w:rsidR="00374DC9" w:rsidRPr="003F59D6">
        <w:rPr>
          <w:rFonts w:ascii="Arial" w:hAnsi="Arial" w:cs="Arial"/>
          <w:sz w:val="24"/>
          <w:szCs w:val="24"/>
        </w:rPr>
        <w:t>globėjais aptaria įvykusius pokyčius, o įvertinus pasiektus tikslus, keliami ir formuluojami nauji arba koreguojami nepasiekti gyvenimo kokybę gerinantys individualūs paslaugų gavėjų tikslai.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 xml:space="preserve">20. Bendri paslaugų gavėjų GK rezultatų rodikliai ir numatomi rezultatai įtraukiami į </w:t>
      </w:r>
      <w:r>
        <w:rPr>
          <w:rFonts w:ascii="Arial" w:hAnsi="Arial" w:cs="Arial"/>
          <w:sz w:val="24"/>
          <w:szCs w:val="24"/>
        </w:rPr>
        <w:t>Centro</w:t>
      </w:r>
      <w:r w:rsidRPr="003F59D6">
        <w:rPr>
          <w:rFonts w:ascii="Arial" w:hAnsi="Arial" w:cs="Arial"/>
          <w:sz w:val="24"/>
          <w:szCs w:val="24"/>
        </w:rPr>
        <w:t xml:space="preserve"> ateinančių metų planą, nusimatant veiklas, priemones ir uždavinius siekiant pagerinti paslaugų gavėjų GK. 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>21. Rezultatų rodiklis: paslaugų gavėjų GK sričių: gebėjimų ugdymo ir palaikymo, gerovės, integracijos pokytis</w:t>
      </w:r>
      <w:r>
        <w:rPr>
          <w:rFonts w:ascii="Arial" w:hAnsi="Arial" w:cs="Arial"/>
          <w:sz w:val="24"/>
          <w:szCs w:val="24"/>
        </w:rPr>
        <w:t>.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9D6" w:rsidRPr="003F59D6" w:rsidRDefault="003F59D6" w:rsidP="003F5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9D6">
        <w:rPr>
          <w:rFonts w:ascii="Arial" w:hAnsi="Arial" w:cs="Arial"/>
          <w:b/>
          <w:sz w:val="24"/>
          <w:szCs w:val="24"/>
        </w:rPr>
        <w:t>IV SKYRIUS</w:t>
      </w:r>
    </w:p>
    <w:p w:rsidR="003F59D6" w:rsidRPr="003F59D6" w:rsidRDefault="003F59D6" w:rsidP="003F59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9D6">
        <w:rPr>
          <w:rFonts w:ascii="Arial" w:hAnsi="Arial" w:cs="Arial"/>
          <w:b/>
          <w:sz w:val="24"/>
          <w:szCs w:val="24"/>
        </w:rPr>
        <w:t>BAIGIAMOSIOS NUOSTATOS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 xml:space="preserve">22. Su šiuo Aprašu yra supažindinami </w:t>
      </w:r>
      <w:r>
        <w:rPr>
          <w:rFonts w:ascii="Arial" w:hAnsi="Arial" w:cs="Arial"/>
          <w:sz w:val="24"/>
          <w:szCs w:val="24"/>
        </w:rPr>
        <w:t>Centro</w:t>
      </w:r>
      <w:r w:rsidRPr="003F59D6">
        <w:rPr>
          <w:rFonts w:ascii="Arial" w:hAnsi="Arial" w:cs="Arial"/>
          <w:sz w:val="24"/>
          <w:szCs w:val="24"/>
        </w:rPr>
        <w:t xml:space="preserve"> darbuotojai ir paslaugų gavėjai. </w:t>
      </w: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>23. Aprašas gali būti peržiūrimas, keičiamas esant poreikiui.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 xml:space="preserve">24. Duomenų rinkimas turi apsaugoti paslaugų gavėjų privatumo teisę ir užtikrinti informacijos konfidencialumą, vadovaujantis </w:t>
      </w:r>
      <w:r>
        <w:rPr>
          <w:rFonts w:ascii="Arial" w:hAnsi="Arial" w:cs="Arial"/>
          <w:sz w:val="24"/>
          <w:szCs w:val="24"/>
        </w:rPr>
        <w:t xml:space="preserve">Centro </w:t>
      </w:r>
      <w:r w:rsidRPr="003F59D6">
        <w:rPr>
          <w:rFonts w:ascii="Arial" w:hAnsi="Arial" w:cs="Arial"/>
          <w:sz w:val="24"/>
          <w:szCs w:val="24"/>
        </w:rPr>
        <w:t xml:space="preserve">vidaus tvarkos taisyklėmis. </w:t>
      </w:r>
      <w:r>
        <w:rPr>
          <w:rFonts w:ascii="Arial" w:hAnsi="Arial" w:cs="Arial"/>
          <w:sz w:val="24"/>
          <w:szCs w:val="24"/>
        </w:rPr>
        <w:tab/>
      </w:r>
      <w:r w:rsidRPr="003F59D6">
        <w:rPr>
          <w:rFonts w:ascii="Arial" w:hAnsi="Arial" w:cs="Arial"/>
          <w:sz w:val="24"/>
          <w:szCs w:val="24"/>
        </w:rPr>
        <w:t xml:space="preserve">25. Aprašas yra skelbiamas </w:t>
      </w:r>
      <w:r>
        <w:rPr>
          <w:rFonts w:ascii="Arial" w:hAnsi="Arial" w:cs="Arial"/>
          <w:sz w:val="24"/>
          <w:szCs w:val="24"/>
        </w:rPr>
        <w:t>Centro</w:t>
      </w:r>
      <w:r w:rsidRPr="003F59D6">
        <w:rPr>
          <w:rFonts w:ascii="Arial" w:hAnsi="Arial" w:cs="Arial"/>
          <w:sz w:val="24"/>
          <w:szCs w:val="24"/>
        </w:rPr>
        <w:t xml:space="preserve"> socialiniuose tinkluose.</w:t>
      </w: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9D6" w:rsidRDefault="003F59D6" w:rsidP="00374D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93D" w:rsidRDefault="0098193D" w:rsidP="003F59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9D6" w:rsidRDefault="003F59D6" w:rsidP="003F59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98193D" w:rsidRDefault="0098193D" w:rsidP="009819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93D" w:rsidRPr="009D5141" w:rsidRDefault="0098193D" w:rsidP="0098193D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 w:rsidRPr="009D5141">
        <w:rPr>
          <w:rFonts w:ascii="Arial" w:eastAsiaTheme="minorHAnsi" w:hAnsi="Arial" w:cs="Arial"/>
        </w:rPr>
        <w:t xml:space="preserve">PRITARTA </w:t>
      </w:r>
    </w:p>
    <w:p w:rsidR="0098193D" w:rsidRDefault="0098193D" w:rsidP="0098193D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 w:rsidRPr="009D5141">
        <w:rPr>
          <w:rFonts w:ascii="Arial" w:eastAsiaTheme="minorHAnsi" w:hAnsi="Arial" w:cs="Arial"/>
        </w:rPr>
        <w:t xml:space="preserve">Dienos užimtumo centro </w:t>
      </w:r>
    </w:p>
    <w:p w:rsidR="0098193D" w:rsidRDefault="0098193D" w:rsidP="0098193D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Visuotinio darbuotojų susirinkimo</w:t>
      </w:r>
    </w:p>
    <w:p w:rsidR="0098193D" w:rsidRPr="009D5141" w:rsidRDefault="0098193D" w:rsidP="0098193D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</w:rPr>
      </w:pPr>
      <w:r w:rsidRPr="009D5141">
        <w:rPr>
          <w:rFonts w:ascii="Arial" w:eastAsiaTheme="minorHAnsi" w:hAnsi="Arial" w:cs="Arial"/>
        </w:rPr>
        <w:t>202</w:t>
      </w:r>
      <w:r>
        <w:rPr>
          <w:rFonts w:ascii="Arial" w:eastAsiaTheme="minorHAnsi" w:hAnsi="Arial" w:cs="Arial"/>
        </w:rPr>
        <w:t>4</w:t>
      </w:r>
      <w:r w:rsidRPr="009D5141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11</w:t>
      </w:r>
      <w:r w:rsidRPr="009D5141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14</w:t>
      </w:r>
      <w:r w:rsidRPr="009D5141">
        <w:rPr>
          <w:rFonts w:ascii="Arial" w:eastAsiaTheme="minorHAnsi" w:hAnsi="Arial" w:cs="Arial"/>
        </w:rPr>
        <w:t xml:space="preserve"> posėdžio</w:t>
      </w:r>
    </w:p>
    <w:p w:rsidR="0098193D" w:rsidRDefault="0098193D" w:rsidP="009819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</w:rPr>
        <w:t>Protokolo Nr.3</w:t>
      </w:r>
      <w:r w:rsidRPr="009D5141">
        <w:rPr>
          <w:rFonts w:ascii="Arial" w:eastAsiaTheme="minorHAnsi" w:hAnsi="Arial" w:cs="Arial"/>
        </w:rPr>
        <w:t>. nutarimu</w:t>
      </w:r>
    </w:p>
    <w:p w:rsidR="0098193D" w:rsidRPr="003F59D6" w:rsidRDefault="0098193D" w:rsidP="0098193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193D" w:rsidRPr="003F59D6" w:rsidSect="0098193D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5D" w:rsidRDefault="005E355D" w:rsidP="0098193D">
      <w:pPr>
        <w:spacing w:after="0" w:line="240" w:lineRule="auto"/>
      </w:pPr>
      <w:r>
        <w:separator/>
      </w:r>
    </w:p>
  </w:endnote>
  <w:endnote w:type="continuationSeparator" w:id="0">
    <w:p w:rsidR="005E355D" w:rsidRDefault="005E355D" w:rsidP="0098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5D" w:rsidRDefault="005E355D" w:rsidP="0098193D">
      <w:pPr>
        <w:spacing w:after="0" w:line="240" w:lineRule="auto"/>
      </w:pPr>
      <w:r>
        <w:separator/>
      </w:r>
    </w:p>
  </w:footnote>
  <w:footnote w:type="continuationSeparator" w:id="0">
    <w:p w:rsidR="005E355D" w:rsidRDefault="005E355D" w:rsidP="0098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196459"/>
      <w:docPartObj>
        <w:docPartGallery w:val="Page Numbers (Top of Page)"/>
        <w:docPartUnique/>
      </w:docPartObj>
    </w:sdtPr>
    <w:sdtEndPr/>
    <w:sdtContent>
      <w:p w:rsidR="0098193D" w:rsidRDefault="009819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C0D">
          <w:rPr>
            <w:noProof/>
          </w:rPr>
          <w:t>3</w:t>
        </w:r>
        <w:r>
          <w:fldChar w:fldCharType="end"/>
        </w:r>
      </w:p>
    </w:sdtContent>
  </w:sdt>
  <w:p w:rsidR="0098193D" w:rsidRDefault="0098193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C9"/>
    <w:rsid w:val="00374DC9"/>
    <w:rsid w:val="003F59D6"/>
    <w:rsid w:val="004F77A4"/>
    <w:rsid w:val="005E355D"/>
    <w:rsid w:val="007511CA"/>
    <w:rsid w:val="009626A6"/>
    <w:rsid w:val="0098193D"/>
    <w:rsid w:val="00D5366E"/>
    <w:rsid w:val="00E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5324"/>
  <w15:chartTrackingRefBased/>
  <w15:docId w15:val="{F282CA40-38D3-4C8C-89CD-F76C9E1E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74D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74D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374DC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9D6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81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93D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819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9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4731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2025-11-13T11:10:00Z</cp:lastPrinted>
  <dcterms:created xsi:type="dcterms:W3CDTF">2025-11-06T10:11:00Z</dcterms:created>
  <dcterms:modified xsi:type="dcterms:W3CDTF">2025-11-13T11:10:00Z</dcterms:modified>
</cp:coreProperties>
</file>